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C2" w:rsidRPr="00F213C2" w:rsidRDefault="00F213C2" w:rsidP="00F213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F213C2">
        <w:rPr>
          <w:b/>
          <w:bCs/>
          <w:color w:val="333333"/>
          <w:sz w:val="28"/>
          <w:szCs w:val="28"/>
        </w:rPr>
        <w:t>рав</w:t>
      </w:r>
      <w:r>
        <w:rPr>
          <w:b/>
          <w:bCs/>
          <w:color w:val="333333"/>
          <w:sz w:val="28"/>
          <w:szCs w:val="28"/>
        </w:rPr>
        <w:t>о</w:t>
      </w:r>
      <w:r w:rsidRPr="00F213C2">
        <w:rPr>
          <w:b/>
          <w:bCs/>
          <w:color w:val="333333"/>
          <w:sz w:val="28"/>
          <w:szCs w:val="28"/>
        </w:rPr>
        <w:t xml:space="preserve"> потерпевшего на возмещение морального вреда при рассмотрении судами уголовных дел по преступлениям, совершенным против собственности</w:t>
      </w:r>
    </w:p>
    <w:bookmarkEnd w:id="0"/>
    <w:p w:rsidR="00F213C2" w:rsidRPr="00F213C2" w:rsidRDefault="00F213C2" w:rsidP="00F213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F213C2">
        <w:rPr>
          <w:color w:val="000000"/>
          <w:sz w:val="28"/>
          <w:szCs w:val="28"/>
        </w:rPr>
        <w:t> </w:t>
      </w:r>
      <w:r w:rsidRPr="00F213C2">
        <w:rPr>
          <w:color w:val="FFFFFF"/>
          <w:sz w:val="28"/>
          <w:szCs w:val="28"/>
        </w:rPr>
        <w:t>Текст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Постановлением Конституционного Суда Российской Федерации от 26.10.2021 № 45-П «По делу о проверке конституционности статьи 151 Гражданского кодекса Российской Федерации в связи с жалобой гражданина С.Ф. Шиловского» ч. 1 ст. 151 Гражданского кодекса Российской Федерации (ГК РФ) признана не противоречащей Конституции Российской Федерации.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Так, 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(часть первая);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обстоятельства; суд должен также учитывать степень физических и нравственных страданий, связанных с индивидуальными особенностями гражданина, которому причинен вред (часть вторая).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Применительно к преступлениям против собственности Конституционный Суд Российской Федерации указал, что причинение в результате такого рода преступления конкретного материального ущерба не исключает выяснения того, нарушены ли содеянным иные, помимо экономически значимых, права и интересы, охраняемые законом. Соответственно, при оценке последствий подобного преступления – за пределами стоимости утраченного имущества – могут учитываться и признаваться существенными такие обстоятельства, как эстетическое, фамильное, социально-статусное значение вещей и имущественных прав, использование потерпевшим этого имущества в качестве единственно возможного в конкретной жизненной ситуации способа удовлетворить потребность в жилище и др.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Вместе с тем сам факт причинения потерпевшему от преступления против собственности физических или нравственных страданий не является во всех случаях безусловным и очевидным. К тому же характер и степень такого рода страданий могут различаться в зависимости от вида, условий и сопутствующих обстоятельств совершения самого деяния, а также от состояния физического и психического здоровья потерпевшего, уровня его материальной обеспеченности, качественных характеристик имущества, ставшего предметом преступления, его ценности и значимости для потерпевшего и т.д.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Признание лица потерпевшим от преступления против собственности предполагает, что такого рода преступление, нарушая в первую очередь имущественные права потерпевшего, одновременно посягает и на такое важнейшее нематериальное благо, как достоинство личности, и тем самым может порождать у этого лица физические или нравственные страдания.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lastRenderedPageBreak/>
        <w:t>Таким образом, моральный вред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В то же время обстоятельства дела могут свидетельствовать о причинении физических или нравственных страданий потерпевшему от преступления против собственности, которое явным образом нарушает его личные неимущественные права либо посягает на принадлежащие ему нематериальные блага (например, при совершении преступления в отношении лица, заведомо для виновного находящегося в тяжелой жизненной ситуации, обусловленной, в частности, утратой близкого человека). В таком случае факт причинения морального вреда потерпевшему от указанного преступления не может быть сам по себе поставлен под сомнение судом, что, в свою очередь, не может им не учитываться в ходе оценки представленных доказательств в их совокупности.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05C2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64625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2021-12-22T17:08:00Z</dcterms:created>
  <dcterms:modified xsi:type="dcterms:W3CDTF">2021-12-23T04:42:00Z</dcterms:modified>
</cp:coreProperties>
</file>